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B0" w:rsidRPr="009C1A98" w:rsidRDefault="00F54AB0" w:rsidP="00C940D3">
      <w:pPr>
        <w:spacing w:after="0" w:line="240" w:lineRule="auto"/>
        <w:rPr>
          <w:rFonts w:asciiTheme="majorBidi" w:hAnsiTheme="majorBidi" w:cstheme="majorBidi"/>
          <w:b/>
        </w:rPr>
      </w:pPr>
      <w:r w:rsidRPr="009C1A98">
        <w:rPr>
          <w:rFonts w:asciiTheme="majorBidi" w:hAnsiTheme="majorBidi" w:cstheme="majorBidi"/>
          <w:b/>
        </w:rPr>
        <w:t>PROGNOSTIC UTILITY OF QRS FRAGMENTATION IN PATIENTS WITH NON ISCHEMIC CARDIOMYOPATHY</w:t>
      </w:r>
    </w:p>
    <w:p w:rsidR="009C1A98" w:rsidRPr="009C1A98" w:rsidRDefault="00F54AB0" w:rsidP="009C1A98">
      <w:pPr>
        <w:spacing w:after="0" w:line="240" w:lineRule="auto"/>
        <w:rPr>
          <w:rFonts w:asciiTheme="majorBidi" w:hAnsiTheme="majorBidi" w:cstheme="majorBidi"/>
          <w:bCs/>
          <w:vertAlign w:val="superscript"/>
        </w:rPr>
      </w:pPr>
      <w:r w:rsidRPr="000C5D74">
        <w:rPr>
          <w:rFonts w:asciiTheme="majorBidi" w:hAnsiTheme="majorBidi" w:cstheme="majorBidi"/>
          <w:bCs/>
        </w:rPr>
        <w:t>V</w:t>
      </w:r>
      <w:r w:rsidR="009C1A98" w:rsidRPr="000C5D74">
        <w:rPr>
          <w:rFonts w:asciiTheme="majorBidi" w:hAnsiTheme="majorBidi" w:cstheme="majorBidi"/>
          <w:bCs/>
        </w:rPr>
        <w:t>.</w:t>
      </w:r>
      <w:r w:rsidRPr="000C5D74">
        <w:rPr>
          <w:rFonts w:asciiTheme="majorBidi" w:hAnsiTheme="majorBidi" w:cstheme="majorBidi"/>
          <w:bCs/>
        </w:rPr>
        <w:t>M</w:t>
      </w:r>
      <w:r w:rsidR="009C1A98" w:rsidRPr="000C5D74">
        <w:rPr>
          <w:rFonts w:asciiTheme="majorBidi" w:hAnsiTheme="majorBidi" w:cstheme="majorBidi"/>
          <w:bCs/>
        </w:rPr>
        <w:t>.</w:t>
      </w:r>
      <w:r w:rsidRPr="000C5D74">
        <w:rPr>
          <w:rFonts w:asciiTheme="majorBidi" w:hAnsiTheme="majorBidi" w:cstheme="majorBidi"/>
          <w:bCs/>
        </w:rPr>
        <w:t xml:space="preserve"> Alla</w:t>
      </w:r>
      <w:r w:rsidR="009C1A98" w:rsidRPr="000C5D74">
        <w:rPr>
          <w:rFonts w:asciiTheme="majorBidi" w:hAnsiTheme="majorBidi" w:cstheme="majorBidi"/>
          <w:bCs/>
          <w:vertAlign w:val="superscript"/>
        </w:rPr>
        <w:t>1</w:t>
      </w:r>
      <w:r w:rsidR="001779D1" w:rsidRPr="009C1A98">
        <w:rPr>
          <w:rFonts w:asciiTheme="majorBidi" w:hAnsiTheme="majorBidi" w:cstheme="majorBidi"/>
          <w:bCs/>
        </w:rPr>
        <w:t xml:space="preserve">, </w:t>
      </w:r>
      <w:r w:rsidRPr="009C1A98">
        <w:rPr>
          <w:rFonts w:asciiTheme="majorBidi" w:hAnsiTheme="majorBidi" w:cstheme="majorBidi"/>
          <w:bCs/>
        </w:rPr>
        <w:t>O</w:t>
      </w:r>
      <w:r w:rsidR="009C1A98" w:rsidRPr="009C1A98">
        <w:rPr>
          <w:rFonts w:asciiTheme="majorBidi" w:hAnsiTheme="majorBidi" w:cstheme="majorBidi"/>
          <w:bCs/>
        </w:rPr>
        <w:t xml:space="preserve">. </w:t>
      </w:r>
      <w:r w:rsidRPr="009C1A98">
        <w:rPr>
          <w:rFonts w:asciiTheme="majorBidi" w:hAnsiTheme="majorBidi" w:cstheme="majorBidi"/>
          <w:bCs/>
        </w:rPr>
        <w:t>Bansal</w:t>
      </w:r>
      <w:r w:rsidR="009C1A98" w:rsidRPr="009C1A98">
        <w:rPr>
          <w:rFonts w:asciiTheme="majorBidi" w:hAnsiTheme="majorBidi" w:cstheme="majorBidi"/>
          <w:bCs/>
          <w:vertAlign w:val="superscript"/>
        </w:rPr>
        <w:t>1</w:t>
      </w:r>
      <w:r w:rsidR="001779D1" w:rsidRPr="009C1A98">
        <w:rPr>
          <w:rFonts w:asciiTheme="majorBidi" w:hAnsiTheme="majorBidi" w:cstheme="majorBidi"/>
          <w:bCs/>
        </w:rPr>
        <w:t>,</w:t>
      </w:r>
      <w:r w:rsidRPr="009C1A98">
        <w:rPr>
          <w:rFonts w:asciiTheme="majorBidi" w:hAnsiTheme="majorBidi" w:cstheme="majorBidi"/>
          <w:bCs/>
        </w:rPr>
        <w:t xml:space="preserve"> S</w:t>
      </w:r>
      <w:r w:rsidR="009C1A98" w:rsidRPr="009C1A98">
        <w:rPr>
          <w:rFonts w:asciiTheme="majorBidi" w:hAnsiTheme="majorBidi" w:cstheme="majorBidi"/>
          <w:bCs/>
        </w:rPr>
        <w:t xml:space="preserve">. </w:t>
      </w:r>
      <w:r w:rsidRPr="009C1A98">
        <w:rPr>
          <w:rFonts w:asciiTheme="majorBidi" w:hAnsiTheme="majorBidi" w:cstheme="majorBidi"/>
          <w:bCs/>
        </w:rPr>
        <w:t>Kanuri</w:t>
      </w:r>
      <w:r w:rsidR="009C1A98" w:rsidRPr="009C1A98">
        <w:rPr>
          <w:rFonts w:asciiTheme="majorBidi" w:hAnsiTheme="majorBidi" w:cstheme="majorBidi"/>
          <w:bCs/>
          <w:vertAlign w:val="superscript"/>
        </w:rPr>
        <w:t>1</w:t>
      </w:r>
      <w:r w:rsidR="001779D1" w:rsidRPr="009C1A98">
        <w:rPr>
          <w:rFonts w:asciiTheme="majorBidi" w:hAnsiTheme="majorBidi" w:cstheme="majorBidi"/>
          <w:bCs/>
        </w:rPr>
        <w:t>,</w:t>
      </w:r>
      <w:r w:rsidRPr="009C1A98">
        <w:rPr>
          <w:rFonts w:asciiTheme="majorBidi" w:hAnsiTheme="majorBidi" w:cstheme="majorBidi"/>
          <w:bCs/>
        </w:rPr>
        <w:t xml:space="preserve"> </w:t>
      </w:r>
      <w:r w:rsidR="00723F8D" w:rsidRPr="009C1A98">
        <w:rPr>
          <w:rFonts w:asciiTheme="majorBidi" w:hAnsiTheme="majorBidi" w:cstheme="majorBidi"/>
          <w:bCs/>
        </w:rPr>
        <w:t>M</w:t>
      </w:r>
      <w:r w:rsidR="009C1A98" w:rsidRPr="009C1A98">
        <w:rPr>
          <w:rFonts w:asciiTheme="majorBidi" w:hAnsiTheme="majorBidi" w:cstheme="majorBidi"/>
          <w:bCs/>
        </w:rPr>
        <w:t>.</w:t>
      </w:r>
      <w:r w:rsidR="00723F8D" w:rsidRPr="009C1A98">
        <w:rPr>
          <w:rFonts w:asciiTheme="majorBidi" w:hAnsiTheme="majorBidi" w:cstheme="majorBidi"/>
          <w:bCs/>
        </w:rPr>
        <w:t>B</w:t>
      </w:r>
      <w:r w:rsidR="009C1A98" w:rsidRPr="009C1A98">
        <w:rPr>
          <w:rFonts w:asciiTheme="majorBidi" w:hAnsiTheme="majorBidi" w:cstheme="majorBidi"/>
          <w:bCs/>
        </w:rPr>
        <w:t>.</w:t>
      </w:r>
      <w:r w:rsidR="00723F8D" w:rsidRPr="009C1A98">
        <w:rPr>
          <w:rFonts w:asciiTheme="majorBidi" w:hAnsiTheme="majorBidi" w:cstheme="majorBidi"/>
          <w:bCs/>
        </w:rPr>
        <w:t xml:space="preserve"> Jayanna</w:t>
      </w:r>
      <w:r w:rsidR="001779D1" w:rsidRPr="009C1A98">
        <w:rPr>
          <w:rFonts w:asciiTheme="majorBidi" w:hAnsiTheme="majorBidi" w:cstheme="majorBidi"/>
          <w:bCs/>
          <w:vertAlign w:val="superscript"/>
        </w:rPr>
        <w:t>1</w:t>
      </w:r>
      <w:r w:rsidR="00723F8D" w:rsidRPr="009C1A98">
        <w:rPr>
          <w:rFonts w:asciiTheme="majorBidi" w:hAnsiTheme="majorBidi" w:cstheme="majorBidi"/>
          <w:bCs/>
        </w:rPr>
        <w:t xml:space="preserve">, </w:t>
      </w:r>
      <w:r w:rsidRPr="009C1A98">
        <w:rPr>
          <w:rFonts w:asciiTheme="majorBidi" w:hAnsiTheme="majorBidi" w:cstheme="majorBidi"/>
          <w:bCs/>
        </w:rPr>
        <w:t>Y</w:t>
      </w:r>
      <w:r w:rsidR="009C1A98" w:rsidRPr="009C1A98">
        <w:rPr>
          <w:rFonts w:asciiTheme="majorBidi" w:hAnsiTheme="majorBidi" w:cstheme="majorBidi"/>
          <w:bCs/>
        </w:rPr>
        <w:t>.</w:t>
      </w:r>
      <w:r w:rsidRPr="009C1A98">
        <w:rPr>
          <w:rFonts w:asciiTheme="majorBidi" w:hAnsiTheme="majorBidi" w:cstheme="majorBidi"/>
          <w:bCs/>
        </w:rPr>
        <w:t>M</w:t>
      </w:r>
      <w:r w:rsidR="009C1A98" w:rsidRPr="009C1A98">
        <w:rPr>
          <w:rFonts w:asciiTheme="majorBidi" w:hAnsiTheme="majorBidi" w:cstheme="majorBidi"/>
          <w:bCs/>
        </w:rPr>
        <w:t>.</w:t>
      </w:r>
      <w:r w:rsidRPr="009C1A98">
        <w:rPr>
          <w:rFonts w:asciiTheme="majorBidi" w:hAnsiTheme="majorBidi" w:cstheme="majorBidi"/>
          <w:bCs/>
        </w:rPr>
        <w:t xml:space="preserve"> Reddy</w:t>
      </w:r>
      <w:r w:rsidR="009C1A98" w:rsidRPr="009C1A98">
        <w:rPr>
          <w:rFonts w:asciiTheme="majorBidi" w:hAnsiTheme="majorBidi" w:cstheme="majorBidi"/>
          <w:bCs/>
          <w:vertAlign w:val="superscript"/>
        </w:rPr>
        <w:t>2</w:t>
      </w:r>
      <w:r w:rsidR="001779D1" w:rsidRPr="009C1A98">
        <w:rPr>
          <w:rFonts w:asciiTheme="majorBidi" w:hAnsiTheme="majorBidi" w:cstheme="majorBidi"/>
          <w:bCs/>
        </w:rPr>
        <w:t>,</w:t>
      </w:r>
      <w:r w:rsidRPr="009C1A98">
        <w:rPr>
          <w:rFonts w:asciiTheme="majorBidi" w:hAnsiTheme="majorBidi" w:cstheme="majorBidi"/>
          <w:bCs/>
        </w:rPr>
        <w:t xml:space="preserve"> </w:t>
      </w:r>
      <w:bookmarkStart w:id="0" w:name="_GoBack"/>
      <w:r w:rsidR="00723F8D" w:rsidRPr="000C5D74">
        <w:rPr>
          <w:rFonts w:asciiTheme="majorBidi" w:hAnsiTheme="majorBidi" w:cstheme="majorBidi"/>
          <w:b/>
          <w:u w:val="single"/>
        </w:rPr>
        <w:t>M</w:t>
      </w:r>
      <w:r w:rsidR="009C1A98" w:rsidRPr="000C5D74">
        <w:rPr>
          <w:rFonts w:asciiTheme="majorBidi" w:hAnsiTheme="majorBidi" w:cstheme="majorBidi"/>
          <w:b/>
          <w:u w:val="single"/>
        </w:rPr>
        <w:t xml:space="preserve">. </w:t>
      </w:r>
      <w:r w:rsidR="00723F8D" w:rsidRPr="000C5D74">
        <w:rPr>
          <w:rFonts w:asciiTheme="majorBidi" w:hAnsiTheme="majorBidi" w:cstheme="majorBidi"/>
          <w:b/>
          <w:u w:val="single"/>
        </w:rPr>
        <w:t>Kaushik</w:t>
      </w:r>
      <w:r w:rsidR="009C1A98" w:rsidRPr="000C5D74">
        <w:rPr>
          <w:rFonts w:asciiTheme="majorBidi" w:hAnsiTheme="majorBidi" w:cstheme="majorBidi"/>
          <w:b/>
          <w:u w:val="single"/>
          <w:vertAlign w:val="superscript"/>
        </w:rPr>
        <w:t>1</w:t>
      </w:r>
      <w:bookmarkEnd w:id="0"/>
      <w:r w:rsidR="001779D1" w:rsidRPr="009C1A98">
        <w:rPr>
          <w:rFonts w:asciiTheme="majorBidi" w:hAnsiTheme="majorBidi" w:cstheme="majorBidi"/>
          <w:bCs/>
        </w:rPr>
        <w:t>,</w:t>
      </w:r>
      <w:r w:rsidR="001779D1" w:rsidRPr="009C1A98">
        <w:rPr>
          <w:rFonts w:asciiTheme="majorBidi" w:hAnsiTheme="majorBidi" w:cstheme="majorBidi"/>
          <w:bCs/>
          <w:vertAlign w:val="superscript"/>
        </w:rPr>
        <w:t xml:space="preserve"> </w:t>
      </w:r>
    </w:p>
    <w:p w:rsidR="00F54AB0" w:rsidRPr="009C1A98" w:rsidRDefault="00F54AB0" w:rsidP="009C1A98">
      <w:pPr>
        <w:spacing w:after="0" w:line="240" w:lineRule="auto"/>
        <w:rPr>
          <w:rFonts w:asciiTheme="majorBidi" w:hAnsiTheme="majorBidi" w:cstheme="majorBidi"/>
          <w:bCs/>
        </w:rPr>
      </w:pPr>
      <w:r w:rsidRPr="009C1A98">
        <w:rPr>
          <w:rFonts w:asciiTheme="majorBidi" w:hAnsiTheme="majorBidi" w:cstheme="majorBidi"/>
          <w:bCs/>
        </w:rPr>
        <w:t>D</w:t>
      </w:r>
      <w:r w:rsidR="009C1A98" w:rsidRPr="009C1A98">
        <w:rPr>
          <w:rFonts w:asciiTheme="majorBidi" w:hAnsiTheme="majorBidi" w:cstheme="majorBidi"/>
          <w:bCs/>
        </w:rPr>
        <w:t xml:space="preserve">. </w:t>
      </w:r>
      <w:r w:rsidRPr="009C1A98">
        <w:rPr>
          <w:rFonts w:asciiTheme="majorBidi" w:hAnsiTheme="majorBidi" w:cstheme="majorBidi"/>
          <w:bCs/>
        </w:rPr>
        <w:t>Lakkireddy</w:t>
      </w:r>
      <w:r w:rsidR="009C1A98" w:rsidRPr="009C1A98">
        <w:rPr>
          <w:rFonts w:asciiTheme="majorBidi" w:hAnsiTheme="majorBidi" w:cstheme="majorBidi"/>
          <w:bCs/>
          <w:vertAlign w:val="superscript"/>
        </w:rPr>
        <w:t>2</w:t>
      </w:r>
      <w:r w:rsidR="00DE3C3A" w:rsidRPr="009C1A98">
        <w:rPr>
          <w:rFonts w:asciiTheme="majorBidi" w:hAnsiTheme="majorBidi" w:cstheme="majorBidi"/>
          <w:bCs/>
        </w:rPr>
        <w:t>, A</w:t>
      </w:r>
      <w:r w:rsidR="009C1A98" w:rsidRPr="009C1A98">
        <w:rPr>
          <w:rFonts w:asciiTheme="majorBidi" w:hAnsiTheme="majorBidi" w:cstheme="majorBidi"/>
          <w:bCs/>
        </w:rPr>
        <w:t xml:space="preserve">. </w:t>
      </w:r>
      <w:r w:rsidR="00DE3C3A" w:rsidRPr="009C1A98">
        <w:rPr>
          <w:rFonts w:asciiTheme="majorBidi" w:hAnsiTheme="majorBidi" w:cstheme="majorBidi"/>
          <w:bCs/>
        </w:rPr>
        <w:t>Mooss</w:t>
      </w:r>
      <w:r w:rsidR="001779D1" w:rsidRPr="009C1A98">
        <w:rPr>
          <w:rFonts w:asciiTheme="majorBidi" w:hAnsiTheme="majorBidi" w:cstheme="majorBidi"/>
          <w:bCs/>
          <w:vertAlign w:val="superscript"/>
        </w:rPr>
        <w:t>1</w:t>
      </w:r>
    </w:p>
    <w:p w:rsidR="00462895" w:rsidRPr="009C1A98" w:rsidRDefault="009C1A98" w:rsidP="009C1A98">
      <w:pPr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vertAlign w:val="superscript"/>
        </w:rPr>
        <w:t>1</w:t>
      </w:r>
      <w:r w:rsidR="00462895" w:rsidRPr="009C1A98">
        <w:rPr>
          <w:rFonts w:asciiTheme="majorBidi" w:hAnsiTheme="majorBidi" w:cstheme="majorBidi"/>
          <w:bCs/>
        </w:rPr>
        <w:t>Creighton University, Omaha, NE</w:t>
      </w:r>
      <w:r w:rsidR="001779D1" w:rsidRPr="009C1A98">
        <w:rPr>
          <w:rFonts w:asciiTheme="majorBidi" w:hAnsiTheme="majorBidi" w:cstheme="majorBidi"/>
          <w:bCs/>
        </w:rPr>
        <w:t xml:space="preserve">, </w:t>
      </w:r>
      <w:r>
        <w:rPr>
          <w:rFonts w:asciiTheme="majorBidi" w:hAnsiTheme="majorBidi" w:cstheme="majorBidi"/>
          <w:bCs/>
          <w:vertAlign w:val="superscript"/>
        </w:rPr>
        <w:t>2</w:t>
      </w:r>
      <w:r w:rsidR="00462895" w:rsidRPr="009C1A98">
        <w:rPr>
          <w:rFonts w:asciiTheme="majorBidi" w:hAnsiTheme="majorBidi" w:cstheme="majorBidi"/>
          <w:bCs/>
        </w:rPr>
        <w:t>University of Kansas, Kansas City, KS</w:t>
      </w:r>
      <w:r w:rsidR="001779D1" w:rsidRPr="009C1A98">
        <w:rPr>
          <w:rFonts w:asciiTheme="majorBidi" w:hAnsiTheme="majorBidi" w:cstheme="majorBidi"/>
          <w:bCs/>
        </w:rPr>
        <w:t>, USA</w:t>
      </w:r>
    </w:p>
    <w:p w:rsidR="00462895" w:rsidRPr="009C1A98" w:rsidRDefault="00462895" w:rsidP="00C940D3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C940D3" w:rsidRPr="009C1A98" w:rsidRDefault="00C940D3" w:rsidP="009C1A98">
      <w:pPr>
        <w:spacing w:after="0" w:line="240" w:lineRule="auto"/>
        <w:jc w:val="both"/>
        <w:rPr>
          <w:rFonts w:asciiTheme="majorBidi" w:hAnsiTheme="majorBidi" w:cstheme="majorBidi"/>
        </w:rPr>
      </w:pPr>
      <w:r w:rsidRPr="009C1A98">
        <w:rPr>
          <w:rFonts w:asciiTheme="majorBidi" w:hAnsiTheme="majorBidi" w:cstheme="majorBidi"/>
        </w:rPr>
        <w:t>Objectives:</w:t>
      </w:r>
      <w:r w:rsidRPr="009C1A98">
        <w:rPr>
          <w:rFonts w:asciiTheme="majorBidi" w:hAnsiTheme="majorBidi" w:cstheme="majorBidi"/>
          <w:b/>
          <w:bCs/>
        </w:rPr>
        <w:t xml:space="preserve"> </w:t>
      </w:r>
      <w:r w:rsidRPr="009C1A98">
        <w:rPr>
          <w:rFonts w:asciiTheme="majorBidi" w:hAnsiTheme="majorBidi" w:cstheme="majorBidi"/>
          <w:bCs/>
        </w:rPr>
        <w:t>Assess the utility of</w:t>
      </w:r>
      <w:r w:rsidRPr="009C1A98">
        <w:rPr>
          <w:rFonts w:asciiTheme="majorBidi" w:hAnsiTheme="majorBidi" w:cstheme="majorBidi"/>
          <w:b/>
          <w:bCs/>
        </w:rPr>
        <w:t xml:space="preserve"> </w:t>
      </w:r>
      <w:r w:rsidRPr="009C1A98">
        <w:rPr>
          <w:rFonts w:asciiTheme="majorBidi" w:hAnsiTheme="majorBidi" w:cstheme="majorBidi"/>
        </w:rPr>
        <w:t>QRS fragmentation (</w:t>
      </w:r>
      <w:proofErr w:type="spellStart"/>
      <w:r w:rsidRPr="009C1A98">
        <w:rPr>
          <w:rFonts w:asciiTheme="majorBidi" w:hAnsiTheme="majorBidi" w:cstheme="majorBidi"/>
        </w:rPr>
        <w:t>QRSf</w:t>
      </w:r>
      <w:proofErr w:type="spellEnd"/>
      <w:r w:rsidRPr="009C1A98">
        <w:rPr>
          <w:rFonts w:asciiTheme="majorBidi" w:hAnsiTheme="majorBidi" w:cstheme="majorBidi"/>
        </w:rPr>
        <w:t>) for predicting heart failure hospitalizations (HFH) and mortality in patients with non ischemic cardiomyopathy (NICMP).</w:t>
      </w:r>
    </w:p>
    <w:p w:rsidR="00C940D3" w:rsidRPr="009C1A98" w:rsidRDefault="00454EA4" w:rsidP="009C1A98">
      <w:pPr>
        <w:spacing w:after="0" w:line="240" w:lineRule="auto"/>
        <w:jc w:val="both"/>
        <w:rPr>
          <w:rFonts w:asciiTheme="majorBidi" w:hAnsiTheme="majorBidi" w:cstheme="majorBidi"/>
        </w:rPr>
      </w:pPr>
      <w:r w:rsidRPr="009C1A98">
        <w:rPr>
          <w:rFonts w:asciiTheme="majorBidi" w:hAnsiTheme="majorBidi" w:cstheme="majorBidi"/>
        </w:rPr>
        <w:t>Background</w:t>
      </w:r>
      <w:r w:rsidR="00C940D3" w:rsidRPr="009C1A98">
        <w:rPr>
          <w:rFonts w:asciiTheme="majorBidi" w:hAnsiTheme="majorBidi" w:cstheme="majorBidi"/>
        </w:rPr>
        <w:t xml:space="preserve">: </w:t>
      </w:r>
      <w:proofErr w:type="spellStart"/>
      <w:r w:rsidRPr="009C1A98">
        <w:rPr>
          <w:rFonts w:asciiTheme="majorBidi" w:hAnsiTheme="majorBidi" w:cstheme="majorBidi"/>
        </w:rPr>
        <w:t>QRSf</w:t>
      </w:r>
      <w:proofErr w:type="spellEnd"/>
      <w:r w:rsidR="00C940D3" w:rsidRPr="009C1A98">
        <w:rPr>
          <w:rFonts w:asciiTheme="majorBidi" w:hAnsiTheme="majorBidi" w:cstheme="majorBidi"/>
        </w:rPr>
        <w:t xml:space="preserve"> </w:t>
      </w:r>
      <w:r w:rsidRPr="009C1A98">
        <w:rPr>
          <w:rFonts w:asciiTheme="majorBidi" w:hAnsiTheme="majorBidi" w:cstheme="majorBidi"/>
        </w:rPr>
        <w:t>is a predictor of adverse cardiac events in patients with coronary artery disease. Though recent studies have demonstrated increased risk of arrhythmias, the predictive a</w:t>
      </w:r>
      <w:r w:rsidR="00C940D3" w:rsidRPr="009C1A98">
        <w:rPr>
          <w:rFonts w:asciiTheme="majorBidi" w:hAnsiTheme="majorBidi" w:cstheme="majorBidi"/>
        </w:rPr>
        <w:t xml:space="preserve">bility of </w:t>
      </w:r>
      <w:proofErr w:type="spellStart"/>
      <w:r w:rsidR="00C940D3" w:rsidRPr="009C1A98">
        <w:rPr>
          <w:rFonts w:asciiTheme="majorBidi" w:hAnsiTheme="majorBidi" w:cstheme="majorBidi"/>
        </w:rPr>
        <w:t>QRSf</w:t>
      </w:r>
      <w:proofErr w:type="spellEnd"/>
      <w:r w:rsidR="00C940D3" w:rsidRPr="009C1A98">
        <w:rPr>
          <w:rFonts w:asciiTheme="majorBidi" w:hAnsiTheme="majorBidi" w:cstheme="majorBidi"/>
        </w:rPr>
        <w:t xml:space="preserve"> is unclear in </w:t>
      </w:r>
      <w:r w:rsidRPr="009C1A98">
        <w:rPr>
          <w:rFonts w:asciiTheme="majorBidi" w:hAnsiTheme="majorBidi" w:cstheme="majorBidi"/>
        </w:rPr>
        <w:t xml:space="preserve">NICMP. In light of recent evidence demonstrating a link between </w:t>
      </w:r>
      <w:proofErr w:type="spellStart"/>
      <w:r w:rsidRPr="009C1A98">
        <w:rPr>
          <w:rFonts w:asciiTheme="majorBidi" w:hAnsiTheme="majorBidi" w:cstheme="majorBidi"/>
        </w:rPr>
        <w:t>QRSf</w:t>
      </w:r>
      <w:proofErr w:type="spellEnd"/>
      <w:r w:rsidRPr="009C1A98">
        <w:rPr>
          <w:rFonts w:asciiTheme="majorBidi" w:hAnsiTheme="majorBidi" w:cstheme="majorBidi"/>
        </w:rPr>
        <w:t xml:space="preserve"> and mechanical </w:t>
      </w:r>
      <w:proofErr w:type="spellStart"/>
      <w:r w:rsidRPr="009C1A98">
        <w:rPr>
          <w:rFonts w:asciiTheme="majorBidi" w:hAnsiTheme="majorBidi" w:cstheme="majorBidi"/>
        </w:rPr>
        <w:t>dysynchrony</w:t>
      </w:r>
      <w:proofErr w:type="spellEnd"/>
      <w:r w:rsidRPr="009C1A98">
        <w:rPr>
          <w:rFonts w:asciiTheme="majorBidi" w:hAnsiTheme="majorBidi" w:cstheme="majorBidi"/>
        </w:rPr>
        <w:t xml:space="preserve">, we hypothesized that </w:t>
      </w:r>
      <w:proofErr w:type="spellStart"/>
      <w:r w:rsidRPr="009C1A98">
        <w:rPr>
          <w:rFonts w:asciiTheme="majorBidi" w:hAnsiTheme="majorBidi" w:cstheme="majorBidi"/>
        </w:rPr>
        <w:t>QRSf</w:t>
      </w:r>
      <w:proofErr w:type="spellEnd"/>
      <w:r w:rsidRPr="009C1A98">
        <w:rPr>
          <w:rFonts w:asciiTheme="majorBidi" w:hAnsiTheme="majorBidi" w:cstheme="majorBidi"/>
        </w:rPr>
        <w:t xml:space="preserve"> would predict </w:t>
      </w:r>
      <w:r w:rsidR="00C940D3" w:rsidRPr="009C1A98">
        <w:rPr>
          <w:rFonts w:asciiTheme="majorBidi" w:hAnsiTheme="majorBidi" w:cstheme="majorBidi"/>
        </w:rPr>
        <w:t>HFH and mortality in patients with NICMP</w:t>
      </w:r>
      <w:r w:rsidRPr="009C1A98">
        <w:rPr>
          <w:rFonts w:asciiTheme="majorBidi" w:hAnsiTheme="majorBidi" w:cstheme="majorBidi"/>
        </w:rPr>
        <w:t xml:space="preserve">. </w:t>
      </w:r>
    </w:p>
    <w:p w:rsidR="009C1A98" w:rsidRDefault="00454EA4" w:rsidP="009C1A98">
      <w:pPr>
        <w:spacing w:after="0" w:line="240" w:lineRule="auto"/>
        <w:jc w:val="both"/>
        <w:rPr>
          <w:rFonts w:asciiTheme="majorBidi" w:hAnsiTheme="majorBidi" w:cstheme="majorBidi"/>
        </w:rPr>
      </w:pPr>
      <w:r w:rsidRPr="009C1A98">
        <w:rPr>
          <w:rFonts w:asciiTheme="majorBidi" w:hAnsiTheme="majorBidi" w:cstheme="majorBidi"/>
        </w:rPr>
        <w:t>Methods: Records of consecutive patients admitted to the Creigh</w:t>
      </w:r>
      <w:r w:rsidR="00D07F03" w:rsidRPr="009C1A98">
        <w:rPr>
          <w:rFonts w:asciiTheme="majorBidi" w:hAnsiTheme="majorBidi" w:cstheme="majorBidi"/>
        </w:rPr>
        <w:t>ton University Medical C</w:t>
      </w:r>
      <w:r w:rsidRPr="009C1A98">
        <w:rPr>
          <w:rFonts w:asciiTheme="majorBidi" w:hAnsiTheme="majorBidi" w:cstheme="majorBidi"/>
        </w:rPr>
        <w:t>enter with heart failure between 1/1 2003 and 12/31/2009 were screened. Patients with ejection fraction≤35%; negative angiogram or stress test, and narrow QRS (&lt;120msec) were included. Admission EKGs were reviewed for QRS fragmentation.</w:t>
      </w:r>
      <w:r w:rsidR="00D07F03" w:rsidRPr="009C1A98">
        <w:rPr>
          <w:rFonts w:asciiTheme="majorBidi" w:hAnsiTheme="majorBidi" w:cstheme="majorBidi"/>
        </w:rPr>
        <w:t xml:space="preserve"> </w:t>
      </w:r>
      <w:r w:rsidRPr="009C1A98">
        <w:rPr>
          <w:rFonts w:asciiTheme="majorBidi" w:hAnsiTheme="majorBidi" w:cstheme="majorBidi"/>
        </w:rPr>
        <w:t xml:space="preserve">Baseline and follow up details were collected retrospectively. Relationship between baseline </w:t>
      </w:r>
      <w:proofErr w:type="spellStart"/>
      <w:r w:rsidRPr="009C1A98">
        <w:rPr>
          <w:rFonts w:asciiTheme="majorBidi" w:hAnsiTheme="majorBidi" w:cstheme="majorBidi"/>
        </w:rPr>
        <w:t>QRSf</w:t>
      </w:r>
      <w:proofErr w:type="spellEnd"/>
      <w:r w:rsidRPr="009C1A98">
        <w:rPr>
          <w:rFonts w:asciiTheme="majorBidi" w:hAnsiTheme="majorBidi" w:cstheme="majorBidi"/>
        </w:rPr>
        <w:t>, all</w:t>
      </w:r>
      <w:r w:rsidR="00D07F03" w:rsidRPr="009C1A98">
        <w:rPr>
          <w:rFonts w:asciiTheme="majorBidi" w:hAnsiTheme="majorBidi" w:cstheme="majorBidi"/>
        </w:rPr>
        <w:t>-</w:t>
      </w:r>
      <w:r w:rsidR="00C940D3" w:rsidRPr="009C1A98">
        <w:rPr>
          <w:rFonts w:asciiTheme="majorBidi" w:hAnsiTheme="majorBidi" w:cstheme="majorBidi"/>
        </w:rPr>
        <w:t>cause mortality and repeat</w:t>
      </w:r>
      <w:r w:rsidRPr="009C1A98">
        <w:rPr>
          <w:rFonts w:asciiTheme="majorBidi" w:hAnsiTheme="majorBidi" w:cstheme="majorBidi"/>
        </w:rPr>
        <w:t xml:space="preserve"> HFH was assessed.</w:t>
      </w:r>
    </w:p>
    <w:p w:rsidR="009C1A98" w:rsidRDefault="00454EA4" w:rsidP="009C1A98">
      <w:pPr>
        <w:spacing w:after="0" w:line="240" w:lineRule="auto"/>
        <w:jc w:val="both"/>
        <w:rPr>
          <w:rFonts w:asciiTheme="majorBidi" w:hAnsiTheme="majorBidi" w:cstheme="majorBidi"/>
        </w:rPr>
      </w:pPr>
      <w:r w:rsidRPr="009C1A98">
        <w:rPr>
          <w:rFonts w:asciiTheme="majorBidi" w:hAnsiTheme="majorBidi" w:cstheme="majorBidi"/>
        </w:rPr>
        <w:t xml:space="preserve">Results: Out of 95 included patients, 39 (41%) had repeat HFH and 18 (19%) died over a mean follow up of 694 days. </w:t>
      </w:r>
      <w:proofErr w:type="spellStart"/>
      <w:r w:rsidRPr="009C1A98">
        <w:rPr>
          <w:rFonts w:asciiTheme="majorBidi" w:hAnsiTheme="majorBidi" w:cstheme="majorBidi"/>
        </w:rPr>
        <w:t>QRSf</w:t>
      </w:r>
      <w:proofErr w:type="spellEnd"/>
      <w:r w:rsidRPr="009C1A98">
        <w:rPr>
          <w:rFonts w:asciiTheme="majorBidi" w:hAnsiTheme="majorBidi" w:cstheme="majorBidi"/>
        </w:rPr>
        <w:t xml:space="preserve"> in ≥2 leads was noted in 44 (46%) patients. QRS duration was longer &amp; loop diuretic use was higher in </w:t>
      </w:r>
      <w:proofErr w:type="spellStart"/>
      <w:r w:rsidRPr="009C1A98">
        <w:rPr>
          <w:rFonts w:asciiTheme="majorBidi" w:hAnsiTheme="majorBidi" w:cstheme="majorBidi"/>
        </w:rPr>
        <w:t>QRSf</w:t>
      </w:r>
      <w:proofErr w:type="spellEnd"/>
      <w:r w:rsidRPr="009C1A98">
        <w:rPr>
          <w:rFonts w:asciiTheme="majorBidi" w:hAnsiTheme="majorBidi" w:cstheme="majorBidi"/>
        </w:rPr>
        <w:t xml:space="preserve"> group. Other baseline characteristics were similar. </w:t>
      </w:r>
      <w:proofErr w:type="spellStart"/>
      <w:r w:rsidRPr="009C1A98">
        <w:rPr>
          <w:rFonts w:asciiTheme="majorBidi" w:hAnsiTheme="majorBidi" w:cstheme="majorBidi"/>
        </w:rPr>
        <w:t>QRSf</w:t>
      </w:r>
      <w:proofErr w:type="spellEnd"/>
      <w:r w:rsidRPr="009C1A98">
        <w:rPr>
          <w:rFonts w:asciiTheme="majorBidi" w:hAnsiTheme="majorBidi" w:cstheme="majorBidi"/>
        </w:rPr>
        <w:t xml:space="preserve"> did not predict </w:t>
      </w:r>
      <w:r w:rsidR="00D07F03" w:rsidRPr="009C1A98">
        <w:rPr>
          <w:rFonts w:asciiTheme="majorBidi" w:hAnsiTheme="majorBidi" w:cstheme="majorBidi"/>
        </w:rPr>
        <w:t>all-cause</w:t>
      </w:r>
      <w:r w:rsidRPr="009C1A98">
        <w:rPr>
          <w:rFonts w:asciiTheme="majorBidi" w:hAnsiTheme="majorBidi" w:cstheme="majorBidi"/>
        </w:rPr>
        <w:t xml:space="preserve"> mortality, HFH or composite of HFH and death. There was no difference in time to HFH or death in the 2 groups (Table 1).</w:t>
      </w:r>
    </w:p>
    <w:p w:rsidR="009C1A98" w:rsidRDefault="00454EA4" w:rsidP="009C1A98">
      <w:pPr>
        <w:spacing w:after="0" w:line="240" w:lineRule="auto"/>
        <w:jc w:val="both"/>
        <w:rPr>
          <w:rFonts w:asciiTheme="majorBidi" w:hAnsiTheme="majorBidi" w:cstheme="majorBidi"/>
        </w:rPr>
      </w:pPr>
      <w:r w:rsidRPr="009C1A98">
        <w:rPr>
          <w:rFonts w:asciiTheme="majorBidi" w:hAnsiTheme="majorBidi" w:cstheme="majorBidi"/>
        </w:rPr>
        <w:t xml:space="preserve">Conclusion: In patients with NICMP and narrow QRS, </w:t>
      </w:r>
      <w:proofErr w:type="spellStart"/>
      <w:r w:rsidRPr="009C1A98">
        <w:rPr>
          <w:rFonts w:asciiTheme="majorBidi" w:hAnsiTheme="majorBidi" w:cstheme="majorBidi"/>
        </w:rPr>
        <w:t>QRSf</w:t>
      </w:r>
      <w:proofErr w:type="spellEnd"/>
      <w:r w:rsidRPr="009C1A98">
        <w:rPr>
          <w:rFonts w:asciiTheme="majorBidi" w:hAnsiTheme="majorBidi" w:cstheme="majorBidi"/>
        </w:rPr>
        <w:t xml:space="preserve"> does n</w:t>
      </w:r>
      <w:r w:rsidR="00D07F03" w:rsidRPr="009C1A98">
        <w:rPr>
          <w:rFonts w:asciiTheme="majorBidi" w:hAnsiTheme="majorBidi" w:cstheme="majorBidi"/>
        </w:rPr>
        <w:t>ot predict recurrent HFH or all-</w:t>
      </w:r>
      <w:r w:rsidRPr="009C1A98">
        <w:rPr>
          <w:rFonts w:asciiTheme="majorBidi" w:hAnsiTheme="majorBidi" w:cstheme="majorBidi"/>
        </w:rPr>
        <w:t>cause mortality.</w:t>
      </w:r>
    </w:p>
    <w:p w:rsidR="00C940D3" w:rsidRPr="009C1A98" w:rsidRDefault="00454EA4" w:rsidP="00C940D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9C1A98">
        <w:rPr>
          <w:rFonts w:asciiTheme="majorBidi" w:hAnsiTheme="majorBidi" w:cstheme="majorBidi"/>
          <w:sz w:val="16"/>
          <w:szCs w:val="16"/>
        </w:rPr>
        <w:t xml:space="preserve"> </w:t>
      </w:r>
    </w:p>
    <w:p w:rsidR="00C940D3" w:rsidRPr="009C1A98" w:rsidRDefault="00A83811" w:rsidP="00C940D3">
      <w:pPr>
        <w:spacing w:after="0" w:line="240" w:lineRule="auto"/>
        <w:rPr>
          <w:rFonts w:asciiTheme="majorBidi" w:hAnsiTheme="majorBidi" w:cstheme="majorBidi"/>
        </w:rPr>
      </w:pPr>
      <w:r w:rsidRPr="009C1A98">
        <w:rPr>
          <w:rFonts w:asciiTheme="majorBidi" w:hAnsiTheme="majorBidi" w:cstheme="majorBidi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1265"/>
        <w:gridCol w:w="1405"/>
        <w:gridCol w:w="1543"/>
        <w:gridCol w:w="986"/>
      </w:tblGrid>
      <w:tr w:rsidR="00D07F03" w:rsidRPr="009C1A98" w:rsidTr="00D07F03">
        <w:tc>
          <w:tcPr>
            <w:tcW w:w="3369" w:type="dxa"/>
          </w:tcPr>
          <w:p w:rsidR="00D07F03" w:rsidRPr="009C1A98" w:rsidRDefault="00D07F03" w:rsidP="00153E09">
            <w:pPr>
              <w:tabs>
                <w:tab w:val="left" w:pos="102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7F03" w:rsidRPr="009C1A98" w:rsidRDefault="004D3067" w:rsidP="00153E09">
            <w:pPr>
              <w:tabs>
                <w:tab w:val="left" w:pos="10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  <w:proofErr w:type="spellStart"/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QRS</w:t>
            </w:r>
            <w:r w:rsidRPr="009C1A98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proofErr w:type="spellEnd"/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 (n=51)</w:t>
            </w:r>
          </w:p>
        </w:tc>
        <w:tc>
          <w:tcPr>
            <w:tcW w:w="1418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QRS</w:t>
            </w:r>
            <w:r w:rsidRPr="009C1A98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proofErr w:type="spellEnd"/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 (n=44)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Total (n=95)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Males,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tabs>
                <w:tab w:val="left" w:pos="10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36 (71)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29 (66)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65 (68)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0.625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Hypertension,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34 (67)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29 (66)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63 (66)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0.983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Diabetes Mellitus,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18 (35)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11 (25)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29 (31)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0.277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Smoking,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29 (57)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24 (55)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53 (56)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0.821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Diastolic dysfunction Grade 1,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8 </w:t>
            </w:r>
            <w:r w:rsidR="004D3067" w:rsidRPr="009C1A98">
              <w:rPr>
                <w:rFonts w:asciiTheme="majorBidi" w:hAnsiTheme="majorBidi" w:cstheme="majorBidi"/>
                <w:sz w:val="20"/>
                <w:szCs w:val="20"/>
              </w:rPr>
              <w:t>(16</w:t>
            </w:r>
            <w:r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11 (25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07F03" w:rsidRPr="009C1A98" w:rsidRDefault="00D07F03" w:rsidP="004D30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19 (2</w:t>
            </w:r>
            <w:r w:rsidR="004D3067" w:rsidRPr="009C1A98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0.472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Grade 2,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8 (16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4 (9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12 (13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   Grade 3/4,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5 (11)</w:t>
            </w:r>
          </w:p>
        </w:tc>
        <w:tc>
          <w:tcPr>
            <w:tcW w:w="1418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7 (16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12 (14)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Mitral regurgitation (≥moderate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) ,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 n(%)</w:t>
            </w:r>
          </w:p>
        </w:tc>
        <w:tc>
          <w:tcPr>
            <w:tcW w:w="1275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7 (14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5 (11)</w:t>
            </w:r>
          </w:p>
        </w:tc>
        <w:tc>
          <w:tcPr>
            <w:tcW w:w="1559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12 (13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0.739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Ejection fraction, %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23.78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24.14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23.95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0.829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QRS duration, </w:t>
            </w:r>
            <w:proofErr w:type="spell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msec</w:t>
            </w:r>
            <w:proofErr w:type="spellEnd"/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88.59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94.48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91.32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0.009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B type natriuretic peptide,  pg/ml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1229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1144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1289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0.747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Creatinine, mg/dl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1.63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1.57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1.60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0.856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Aldosterone blockers,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8 (16)</w:t>
            </w:r>
          </w:p>
        </w:tc>
        <w:tc>
          <w:tcPr>
            <w:tcW w:w="1418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14 (32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22 (23)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0.054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Angiotensin blockers,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27 (53)</w:t>
            </w:r>
          </w:p>
        </w:tc>
        <w:tc>
          <w:tcPr>
            <w:tcW w:w="1418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31 (70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58 (61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0.057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Beta blockers,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29 (57)</w:t>
            </w:r>
          </w:p>
        </w:tc>
        <w:tc>
          <w:tcPr>
            <w:tcW w:w="1418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32 (73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61 (64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0.076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tabs>
                <w:tab w:val="left" w:pos="135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Loop Diuretics,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24 (47)</w:t>
            </w:r>
          </w:p>
        </w:tc>
        <w:tc>
          <w:tcPr>
            <w:tcW w:w="1418" w:type="dxa"/>
          </w:tcPr>
          <w:p w:rsidR="00D07F03" w:rsidRPr="009C1A98" w:rsidRDefault="004D3067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31 (70</w:t>
            </w:r>
            <w:r w:rsidR="00D07F03" w:rsidRPr="009C1A9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55 (59)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0.014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Readmission,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20 (39)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19 (43)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39 (41)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0.695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Death,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7 (14)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11 (25)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18 (19)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0.162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 xml:space="preserve">Death or Readmission, </w:t>
            </w:r>
            <w:proofErr w:type="gramStart"/>
            <w:r w:rsidRPr="009C1A98">
              <w:rPr>
                <w:rFonts w:asciiTheme="majorBidi" w:hAnsiTheme="majorBidi" w:cstheme="majorBidi"/>
                <w:sz w:val="20"/>
                <w:szCs w:val="20"/>
              </w:rPr>
              <w:t>n(</w:t>
            </w:r>
            <w:proofErr w:type="gramEnd"/>
            <w:r w:rsidRPr="009C1A9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22 (43)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24 (55)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46 (48)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0.267</w:t>
            </w:r>
          </w:p>
        </w:tc>
      </w:tr>
      <w:tr w:rsidR="00D07F03" w:rsidRPr="009C1A98" w:rsidTr="00D07F03">
        <w:tc>
          <w:tcPr>
            <w:tcW w:w="336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Time to event (days)</w:t>
            </w:r>
          </w:p>
        </w:tc>
        <w:tc>
          <w:tcPr>
            <w:tcW w:w="1275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506</w:t>
            </w:r>
          </w:p>
        </w:tc>
        <w:tc>
          <w:tcPr>
            <w:tcW w:w="1418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445</w:t>
            </w:r>
          </w:p>
        </w:tc>
        <w:tc>
          <w:tcPr>
            <w:tcW w:w="1559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474</w:t>
            </w:r>
          </w:p>
        </w:tc>
        <w:tc>
          <w:tcPr>
            <w:tcW w:w="992" w:type="dxa"/>
          </w:tcPr>
          <w:p w:rsidR="00D07F03" w:rsidRPr="009C1A98" w:rsidRDefault="00D07F03" w:rsidP="00153E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1A98">
              <w:rPr>
                <w:rFonts w:asciiTheme="majorBidi" w:hAnsiTheme="majorBidi" w:cstheme="majorBidi"/>
                <w:sz w:val="20"/>
                <w:szCs w:val="20"/>
              </w:rPr>
              <w:t>0.723</w:t>
            </w:r>
          </w:p>
        </w:tc>
      </w:tr>
    </w:tbl>
    <w:p w:rsidR="00D07F03" w:rsidRDefault="00D07F03" w:rsidP="009C1A98">
      <w:pPr>
        <w:rPr>
          <w:rFonts w:asciiTheme="majorBidi" w:hAnsiTheme="majorBidi" w:cstheme="majorBidi"/>
        </w:rPr>
      </w:pPr>
    </w:p>
    <w:sectPr w:rsidR="00D07F03" w:rsidSect="000C5D74">
      <w:head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01" w:rsidRDefault="00402801" w:rsidP="00402801">
      <w:pPr>
        <w:spacing w:after="0" w:line="240" w:lineRule="auto"/>
      </w:pPr>
      <w:r>
        <w:separator/>
      </w:r>
    </w:p>
  </w:endnote>
  <w:endnote w:type="continuationSeparator" w:id="0">
    <w:p w:rsidR="00402801" w:rsidRDefault="00402801" w:rsidP="0040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01" w:rsidRDefault="00402801" w:rsidP="00402801">
      <w:pPr>
        <w:spacing w:after="0" w:line="240" w:lineRule="auto"/>
      </w:pPr>
      <w:r>
        <w:separator/>
      </w:r>
    </w:p>
  </w:footnote>
  <w:footnote w:type="continuationSeparator" w:id="0">
    <w:p w:rsidR="00402801" w:rsidRDefault="00402801" w:rsidP="0040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01" w:rsidRDefault="00402801" w:rsidP="00402801">
    <w:pPr>
      <w:pStyle w:val="Header"/>
    </w:pPr>
    <w:r>
      <w:t>1274, oral or poster, cat: 37</w:t>
    </w:r>
  </w:p>
  <w:p w:rsidR="00402801" w:rsidRDefault="00402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A4"/>
    <w:rsid w:val="000C5D74"/>
    <w:rsid w:val="001779D1"/>
    <w:rsid w:val="00402801"/>
    <w:rsid w:val="00454EA4"/>
    <w:rsid w:val="00462895"/>
    <w:rsid w:val="004D3067"/>
    <w:rsid w:val="006242FE"/>
    <w:rsid w:val="006378D8"/>
    <w:rsid w:val="00723F8D"/>
    <w:rsid w:val="007327F4"/>
    <w:rsid w:val="0097513B"/>
    <w:rsid w:val="009C1A98"/>
    <w:rsid w:val="00A83811"/>
    <w:rsid w:val="00C940D3"/>
    <w:rsid w:val="00D07F03"/>
    <w:rsid w:val="00DE3C3A"/>
    <w:rsid w:val="00EA6D99"/>
    <w:rsid w:val="00F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F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01"/>
  </w:style>
  <w:style w:type="paragraph" w:styleId="Footer">
    <w:name w:val="footer"/>
    <w:basedOn w:val="Normal"/>
    <w:link w:val="FooterChar"/>
    <w:uiPriority w:val="99"/>
    <w:unhideWhenUsed/>
    <w:rsid w:val="0040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01"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F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01"/>
  </w:style>
  <w:style w:type="paragraph" w:styleId="Footer">
    <w:name w:val="footer"/>
    <w:basedOn w:val="Normal"/>
    <w:link w:val="FooterChar"/>
    <w:uiPriority w:val="99"/>
    <w:unhideWhenUsed/>
    <w:rsid w:val="0040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01"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31B4898D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Target</cp:lastModifiedBy>
  <cp:revision>4</cp:revision>
  <cp:lastPrinted>2012-06-13T12:25:00Z</cp:lastPrinted>
  <dcterms:created xsi:type="dcterms:W3CDTF">2012-03-13T13:06:00Z</dcterms:created>
  <dcterms:modified xsi:type="dcterms:W3CDTF">2012-06-13T12:25:00Z</dcterms:modified>
</cp:coreProperties>
</file>